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193</w:t>
      </w:r>
    </w:p>
    <w:p>
      <w:r>
        <w:t>Bundesgericht (BGE), 1968-03-27, DE</w:t>
      </w:r>
    </w:p>
    <w:p>
      <w:r>
        <w:rPr>
          <w:b/>
        </w:rPr>
        <w:t xml:space="preserve">Quelle: </w:t>
      </w:r>
      <w:r>
        <w:t>https://mcp.opencaselaw.ch/entscheid/bge_94 I 193</w:t>
      </w:r>
    </w:p>
    <w:p>
      <w:r>
        <w:t>FR: ATF 94 I 193</w:t>
      </w:r>
    </w:p>
    <w:p>
      <w:r>
        <w:t>IT: DTF 94 I 193</w:t>
      </w:r>
    </w:p>
    <w:p>
      <w:pPr>
        <w:pStyle w:val="Heading2"/>
      </w:pPr>
      <w:r>
        <w:t>Regeste</w:t>
      </w:r>
    </w:p>
    <w:p>
      <w:r>
        <w:t>Regeste Art. 88 OG; Art. 11 f. des Abkommens zwischen der Schweiz und Italien über die Auswanderung italienischer Arbeitskräfte nach der Schweiz vom 10. 8. 1964; Legitimation des vom Widerruf einer Aufenthaltsbewilligung Betroffenen zur staatsrechtlichen Beschwerde, wenn dieser ohne den Widerruf auf die Verlängerung der Bewilligung Anspruch gehabt hätte. Art. 9 Abs. 2 lit. a und b ANAG: Befugnis des Gesuchstellers zur Verschweigung objektiv unrichtiger Verdächtigungen, selbst wenn die Fremdenpolizei eines andern Kantons darauf abgestellt hat; Anforderungen an den Beweis dafür, dass der Gesuchsteller zu Klagen Anlass gegeben habe.</w:t>
      </w:r>
    </w:p>
    <w:p>
      <w:pPr>
        <w:pStyle w:val="Heading2"/>
      </w:pPr>
      <w:r>
        <w:t>Erwägungen</w:t>
      </w:r>
    </w:p>
    <w:p>
      <w:r>
        <w:rPr>
          <w:b/>
        </w:rPr>
        <w:t>E. 1</w:t>
      </w:r>
    </w:p>
    <w:p>
      <w:r>
        <w:t>Zur Begründung des Nichteintretensantrages macht der Regierungsrat geltend, die Aufenthaltsbewilligung, deren Widerruf der Beschwerdeführer anficht, sei am 20. Oktober 1967 abgelaufen, so dass dem Beschwerdeführer das gemäss Art. 88 OG erforderliche aktuelle Interesse an der Erhebung der Beschwerde fehle. Der Beschwerdeführer ist italienischer Staatsangehöriger. Gemäss Art. 11 des Abkommens zwischen der Schweiz und Italien über die Auswanderung italienischer Arbeitskräfte nach der Schweiz vom 10. August 1964 (AS 1965 S. 399) haben italienische Arbeitskräfte nach einem ordnungsgemässen und ununterbrochenen Aufenthalt von wenigstens 5 Jahren Anspruch auf eine Vorzugsbehandlung, d.h. auf Verlängerung der Aufenthaltsbewilligung für ihre Tätigkeit am bisherigen Arbeitsplatz. Nach der Beschwerdeantwort des Regierungsrates hielt sich der Beschwerdeführer in der Zeit von 1956 bis 1964 insgesamt etwa 89 Monate, oder mehr als 7 Jahre als Saisonarbeiter in der Schweiz auf, bis ihm mit Wirkung seit dem 30. November 1964 eine Jahresbewilligung erteilt wurde. Nach Art. 12 Ziff. 2 des Abkommens werden die Monate, während welcher der Arbeitnehmer als Saisonarbeiter in der Schweiz gearbeitet hat, von den Fristen abgezogen, die für die BGE 94 I 193 S. 196 Vorzugsbehandlung für Aufenthalter gelten. Die nach den Art. 11 und 12 anrechenbare Aufenthaltsdauer beträgt danach mehr als 10 Jahre, übersteigt also die Mindestdauer von 5 Jahren, die nach Art. 11 Anspruch auf die Vorzugsbehandlung gibt. Der Regierungsrat macht zwar geltend, die Umwandlung in eine Jahresbewilligung sei am 30. November 1964, d.h. vor dem Inkrafttreten des Abkommens und nach den allgemeinen Weisungen des BIGA vom 25. Mai 1960 erfolgt, sodass die Vorzugsbehandlung des Abkommens ausser Betracht falle. Indes spricht Art. 12 Ziff. 2 des Abkommens schlechthin von den Monaten, während welcher der Arbeitnehmer als Saisonarbeiter in der Schweiz gearbeitet hat. Er unterscheidet nicht, ob der Arbeitnehmer noch heute als Saisonarbeiter tätig ist, und ob seine Bewilligung inzwischen in eine Ganzjahresbewilligung umgewandelt wurde. Die Unterscheidung, die der Regierungsrat machen will, hat deshalb nicht bloss den Wortlaut, sondern auch den Sinn und Zweck des Abkommens gegen sich, das den stabileren Elementen unter den ausländischen Arbeitskräften eine Vorzugsbehandlung gewähren will. Die Umwandlung der Saison- in eine Ganzjahresbewilligung weist aber auf eine grössere Stabilität des Arbeits- und Aufenthaltsverhältnisses hin. Der Beschwerdeführer hätte ohne den Widerruf der Aufenthaltsbewilligung auf deren Verlängerung Anspruch gehabt. Er kann die Vorzugsbehandlung nur verlangen, wenn es nicht beim Widerruf bleibt. Er besitzt deshalb ein aktuelles Interesse daran, dass die Verfassungsmässigkeit des Entscheides des Regierungsrates überprüft wird.</w:t>
      </w:r>
    </w:p>
    <w:p>
      <w:r>
        <w:rPr>
          <w:b/>
        </w:rPr>
        <w:t>E. 2</w:t>
      </w:r>
    </w:p>
    <w:p>
      <w:r>
        <w:t>Der Beschwerdeführer verlangt die Aufhebung sowohl des Beschlusses des Regierungsrates als diejenige der kantonalen Fremdenpolizei. Da Entscheide der kantonalen Fremdenpolizei von der kantonalen Rekursinstanz in tatsächlicher und rechtlicher Hinsicht frei zu überprüfen sind, tritt der kantonale Rekursentscheid an die Stelle desjenigen der Fremdenpolizei und ersetzt ihn. Die staatsrechtliche Beschwerde kann sich deshalb nur gegen den Beschluss des Regierungsrates, nicht auch noch gegen die fremdenpolizeiliche Verfügung richten.</w:t>
      </w:r>
    </w:p>
    <w:p>
      <w:r>
        <w:rPr>
          <w:b/>
        </w:rPr>
        <w:t>E. 3</w:t>
      </w:r>
    </w:p>
    <w:p>
      <w:r>
        <w:t>Art. 9 Abs. 2 lit. a ANAG ermächtigt die Fremdenpolizei, die Aufenthaltsbewilligung zu widerrufen, wenn der Ausländer sie durch falsche Angaben oder durch wissentliches Verschweigen wesentlicher Tatsachen erschlichen hat. Der Beschwerdeführer stellt in Abrede, dass er der Fremdenpolizei BGE 94 I 193 S. 197 des Kantons Basel-Landschaft falsche Angaben über die in Basel über ihn angeordnete Wegweisung und deren Ursachen gemacht habe. Da man ihn nicht nach dem Grund des Wohnungswechsels gefragt habe, habe er keinen Anlass gehabt, darüber unrichtige Angaben zu machen. Da auch das wissentliche Verschweigen wesentlicher Tatsachen einen Widerrufsgrund bildet, kann ein Gesuchsteller allenfalls eine Pflicht haben, zu sprechen, falls die Tatsachen, die er verschweigt, den Entscheid beeinflussen würden. Indes bestehen für eine Verpflichtung, von sich aus der Behörde über bestimmte Tatsachen Angaben zu machen Grenzen. Insbesondere ist niemand verpflichtet, der Behörde unrichtige Verdächtigungen mitzuteilen. Das gilt selbst dann, wenn diese von einer andern Behörde übernommen wurden. Waren die Verdächtigungen selber unrichtig, so lässt sich auch das Verschweigen eines darauf gestützten Entscheides rechtfertigen. Der Beschwerdeführer durfte zudem annehmen, die Behörde lege wenig Wert darauf, zu erfahren, warum er den früheren Aufenthalt im Kanton Basel-Stadt aufgegeben habe. Denn er wurde hierüber anlässlich der Anmeldung in Allschwil nicht befragt. Ob die Aufenthaltsbewilligung habe widerrufen werden können, weil der Beschwerdeführer sie erschlichen habe, hängt daher mit der Frage zusammen, ob er im Sinn von Art. 9 Abs. 2 lit. b ANAG in Basel-Stadt zu berechtigten Klagen Anlass gegeben hat.</w:t>
      </w:r>
    </w:p>
    <w:p>
      <w:r>
        <w:rPr>
          <w:b/>
        </w:rPr>
        <w:t>E. 4</w:t>
      </w:r>
    </w:p>
    <w:p>
      <w:r>
        <w:t>Der Beschwerdeführer hat nach dem angefochtenen Entscheid dadurch zu Klagen Anlass gegeben, dass er zu seiner Logisgeberin Frau Z. ehebrecherische oder zumindest ehewidrige Beziehungen unterhalten und trotz Verwarnung fortgesetzt habe. Dass der Entscheid des Regierungsrates sich hiefür nicht auf eigene Feststellungen seiner Organe stützt, sondern auf von den Behörden des früheren Aufenthaltsortes gemachte, ist an sich nicht zu beanstanden. Der Entscheid muss sich damit aber auch die Mängel entgegenhalten lassen, welche den übernommenen Feststellungen anhaften. Es fehlen jedoch genügende Anhaltspunkte für die behaupteten ehewidrigen Beziehungen des Beschwerdeführers. Die Behauptung stützt sich auf die Angaben eines dem Beschwerdeführer nicht bekanntgegebenen Dritten an einen Beamten des Kantons Basel-Stadt. Diese waren ziemlich allgemein gehalten und gestatten keinen zuverlässigen Schluss auf BGE 94 I 193 S. 198 ehewidrige Beziehungen. Sie könnten als Grundlage für eine so einschneidende Massnahme, wie der Widerruf einer Aufenthaltsbewilligung sie darstellt, nur berücksichtigt werden, wenn sie sich bestätigen würden, nachdem der Beschuldigte selbst Gelegenheit erhalten hätte, sich dazu zu äussern. Der Anspruch auf solche Anhörung besteht auch im Verwaltungsverfahren, wenn der Bürger zur Wahrung seiner Rechte angehört werden muss, und wenn kein öffentliches Interesse dagegen spricht. Ein derartiges entgegenstehendes Interesse ist nicht namhaft gemacht. Der Ausländer hat auf Anhörung und Gewährung rechtlichen Gehörs nicht weniger Anspruch als der Schweizerbürger. Der Beschwerdeführer hatte aber keine Gelegenheit, sich zu den gegen ihn vorgebrachten Vorwürfen zu äussern. Freilich wurde die Vermutung, der Beschwerdeführer habe zu Frau Z. ein Verhältnis auch durch seine frühere Geliebte geäussert. Doch vermag diese sich dafür auf keine andern konkreten Tatsachen zu berufen als darauf, dass der Beschwerdeführer ihre Frage, ob er sie heiraten wolle, verneint, und dass Frau Z. sie darauf wegen ihres Benehmens aus der Wohnung weggeschickt habe. Auch hiezu konnte sich übrigens der Beschwerdeführer nicht äussern. Durch die Aussagen der Frau Z. ist sodann festgestellt, dass die öfters in der Wohnung verkehrende Frl. A. der Frau Z. Eifersuchtsszenen machte und deshalb aus der Wohnung gewiesen wurde. Das ist für ehewidrige Beziehungen zwischen dem Beschwerdeführer und seiner Logisgeberin jedoch nicht schlüssig. Die häufige Anwesenheit desselben in der Wohnung erklärte Frau Z. mit der Tatsache, dass er Untermieter war und wegen Arbeiten, die er in der Wohnung ausführte, anders als die übrigen Untermieter gehalten wurde. Der Ehemann Z. bezeichnet die an die Adresse seiner Frau gemachten Vorhalte als nicht begründet, und der Beschwerdeführer selbst hat sie stets bestritten. Unter solchen Umständen durfte die Behauptung, der Beschwerdeführer habe durch seine Beziehungen zu Frau Z. zu Klagen Anlass gegeben, nicht ohne Verletzung des Anspruchs auf rechtliches Gehör als erwiesen angesehen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